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Пробудження – розлук людських причина...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Пробудження – розлук людських причина:</w:t>
      </w:r>
    </w:p>
    <w:p>
      <w:pPr/>
      <w:r>
        <w:rPr/>
        <w:t xml:space="preserve">Як не кохай, хоч вік, хоч ніч одну,</w:t>
      </w:r>
    </w:p>
    <w:p>
      <w:pPr/>
      <w:r>
        <w:rPr/>
        <w:t xml:space="preserve">Кохання – сон, а сон – лиш мить єдина,</w:t>
      </w:r>
    </w:p>
    <w:p>
      <w:pPr/>
      <w:r>
        <w:rPr/>
        <w:t xml:space="preserve">І все одно прокинеться людина</w:t>
      </w:r>
    </w:p>
    <w:p>
      <w:pPr/>
      <w:r>
        <w:rPr/>
        <w:t xml:space="preserve">Колись від зачарованого сну.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Пробудження – розлук людських причина... — Федір Тютчев</dc:title>
  <dc:description/>
  <dc:subject/>
  <cp:keywords/>
  <cp:category/>
  <cp:lastModifiedBy/>
  <dcterms:created xsi:type="dcterms:W3CDTF">2020-05-13T21:30:03+03:00</dcterms:created>
  <dcterms:modified xsi:type="dcterms:W3CDTF">2020-05-13T21:30:03+03:00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