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Нам наперед не відгадать...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Нам наперед не відгадать,</w:t>
      </w:r>
    </w:p>
    <w:p>
      <w:pPr/>
      <w:r>
        <w:rPr/>
        <w:t xml:space="preserve">Як слово наше відгукнеться, —</w:t>
      </w:r>
    </w:p>
    <w:p>
      <w:pPr/>
      <w:r>
        <w:rPr/>
        <w:t xml:space="preserve">Та співчуття нам надається,</w:t>
      </w:r>
    </w:p>
    <w:p>
      <w:pPr/>
      <w:r>
        <w:rPr/>
        <w:t xml:space="preserve">Як нам дається благодать.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 наперед не відгадать... — Федір Тютчев</dc:title>
  <dc:description/>
  <dc:subject/>
  <cp:keywords/>
  <cp:category/>
  <cp:lastModifiedBy/>
  <dcterms:created xsi:type="dcterms:W3CDTF">2020-05-17T06:52:18+03:00</dcterms:created>
  <dcterms:modified xsi:type="dcterms:W3CDTF">2020-05-17T06:52:18+03:00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