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Надвечір, як грає на заході сонячне тливо...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Давид Гофштейн</w:t>
      </w:r>
    </w:p>
    <w:p>
      <w:pPr/>
      <w:r>
        <w:rPr/>
        <w:t xml:space="preserve">Надвечір, як грає на заході сонячне тливо,</w:t>
      </w:r>
    </w:p>
    <w:p>
      <w:pPr/>
      <w:r>
        <w:rPr/>
        <w:t xml:space="preserve">Туди пориваються очі мої сиротливо,</w:t>
      </w:r>
    </w:p>
    <w:p>
      <w:pPr/>
      <w:r>
        <w:rPr/>
        <w:t xml:space="preserve">Де, наче пощерблена чаша,</w:t>
      </w:r>
    </w:p>
    <w:p>
      <w:pPr/>
      <w:r>
        <w:rPr/>
        <w:t xml:space="preserve">Кривавим вином наливаються звільна міждашшя.</w:t>
      </w:r>
    </w:p>
    <w:p>
      <w:pPr/>
      <w:r>
        <w:rPr/>
        <w:t xml:space="preserve">У місті, де вмер уже гомін,</w:t>
      </w:r>
    </w:p>
    <w:p>
      <w:pPr/>
      <w:r>
        <w:rPr/>
        <w:t xml:space="preserve">Про мене загинув і спомин...</w:t>
      </w:r>
    </w:p>
    <w:p>
      <w:pPr/>
      <w:r>
        <w:rPr/>
        <w:t xml:space="preserve">З старою журбою,</w:t>
      </w:r>
    </w:p>
    <w:p>
      <w:pPr/>
      <w:r>
        <w:rPr/>
        <w:t xml:space="preserve">В плащі, пересяклім наскрізь пилюгою,</w:t>
      </w:r>
    </w:p>
    <w:p>
      <w:pPr/>
      <w:r>
        <w:rPr/>
        <w:t xml:space="preserve">Пускаюся я у непевну мандрівку,-</w:t>
      </w:r>
    </w:p>
    <w:p>
      <w:pPr/>
      <w:r>
        <w:rPr/>
        <w:t xml:space="preserve">Вона тепер там десь, далека, таємна домівка.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Надвечір, як грає на заході сонячне тливо... — Давид Гофштейн</dc:title>
  <dc:description/>
  <dc:subject/>
  <cp:keywords/>
  <cp:category/>
  <cp:lastModifiedBy/>
  <dcterms:created xsi:type="dcterms:W3CDTF">2020-05-15T23:28:52+03:00</dcterms:created>
  <dcterms:modified xsi:type="dcterms:W3CDTF">2020-05-15T23:28:52+03:00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