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парок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Одно лиш літо в дар уділіть мені,</w:t>
      </w:r>
    </w:p>
    <w:p>
      <w:pPr/>
      <w:r>
        <w:rPr/>
        <w:t xml:space="preserve">Одну ще осінь пісні для спілої,</w:t>
      </w:r>
    </w:p>
    <w:p>
      <w:pPr/>
      <w:r>
        <w:rPr/>
        <w:t xml:space="preserve">Щоб серце, чаром гри солодким</w:t>
      </w:r>
    </w:p>
    <w:p>
      <w:pPr/>
      <w:r>
        <w:rPr/>
        <w:t xml:space="preserve">Сите, охочіше вмерло потім.</w:t>
      </w:r>
    </w:p>
    <w:p>
      <w:pPr/>
      <w:r>
        <w:rPr/>
        <w:t xml:space="preserve">Душа, що право божеське їй в житті</w:t>
      </w:r>
    </w:p>
    <w:p>
      <w:pPr/>
      <w:r>
        <w:rPr/>
        <w:t xml:space="preserve">Не сталось, в Орку також сутнітиме,</w:t>
      </w:r>
    </w:p>
    <w:p>
      <w:pPr/>
      <w:r>
        <w:rPr/>
        <w:t xml:space="preserve">Але якщо святе, що в серці</w:t>
      </w:r>
    </w:p>
    <w:p>
      <w:pPr/>
      <w:r>
        <w:rPr/>
        <w:t xml:space="preserve">Маю я, вірш мій мені удався,</w:t>
      </w:r>
    </w:p>
    <w:p>
      <w:pPr/>
      <w:r>
        <w:rPr/>
        <w:t xml:space="preserve">Тоді приходь, о тише Елізію!</w:t>
      </w:r>
    </w:p>
    <w:p>
      <w:pPr/>
      <w:r>
        <w:rPr/>
        <w:t xml:space="preserve">Я згоден буду, навіть як ліра вслід</w:t>
      </w:r>
    </w:p>
    <w:p>
      <w:pPr/>
      <w:r>
        <w:rPr/>
        <w:t xml:space="preserve">Мені не піде; раз один я</w:t>
      </w:r>
    </w:p>
    <w:p>
      <w:pPr/>
      <w:r>
        <w:rPr/>
        <w:t xml:space="preserve">Жив, як боги — і не треба більше.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парок — Фрідріх Гельдерлін</dc:title>
  <dc:description/>
  <dc:subject/>
  <cp:keywords/>
  <cp:category/>
  <cp:lastModifiedBy/>
  <dcterms:created xsi:type="dcterms:W3CDTF">2020-05-15T23:22:50+03:00</dcterms:created>
  <dcterms:modified xsi:type="dcterms:W3CDTF">2020-05-15T23:22:50+03:00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