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Мораль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Дні рицарства давно пройшли.</w:t>
      </w:r>
    </w:p>
    <w:p>
      <w:pPr/>
      <w:r>
        <w:rPr/>
        <w:t xml:space="preserve">Голодні коні та осли</w:t>
      </w:r>
    </w:p>
    <w:p>
      <w:pPr/>
      <w:r>
        <w:rPr/>
        <w:t xml:space="preserve">Удосталь мають — бідне бидло! —</w:t>
      </w:r>
    </w:p>
    <w:p>
      <w:pPr/>
      <w:r>
        <w:rPr/>
        <w:t xml:space="preserve">Вівса й сінця собі на їдло.</w:t>
      </w:r>
    </w:p>
    <w:p>
      <w:pPr/>
      <w:r>
        <w:rPr/>
        <w:t xml:space="preserve">1855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Мораль — Генріх Гейне</dc:title>
  <dc:description/>
  <dc:subject/>
  <cp:keywords/>
  <cp:category/>
  <cp:lastModifiedBy/>
  <dcterms:created xsi:type="dcterms:W3CDTF">2020-05-14T21:56:03+03:00</dcterms:created>
  <dcterms:modified xsi:type="dcterms:W3CDTF">2020-05-14T21:56:03+03:00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