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величність, Муза, має людські риси...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Моя величність, Муза, має людські риси.</w:t>
      </w:r>
    </w:p>
    <w:p>
      <w:pPr/>
      <w:r>
        <w:rPr/>
        <w:t xml:space="preserve">Вона із плоті, серця і крові.</w:t>
      </w:r>
    </w:p>
    <w:p>
      <w:pPr/>
      <w:r>
        <w:rPr/>
        <w:t xml:space="preserve">Із спільних рис одна іще примітна –</w:t>
      </w:r>
    </w:p>
    <w:p>
      <w:pPr/>
      <w:r>
        <w:rPr/>
        <w:t xml:space="preserve">Ми разом ходим по одій і тій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величність, Муза, має людські риси... — Анатолій Клименко</dc:title>
  <dc:description/>
  <dc:subject/>
  <cp:keywords/>
  <cp:category/>
  <cp:lastModifiedBy/>
  <dcterms:created xsi:type="dcterms:W3CDTF">2025-07-24T18:03:14+03:00</dcterms:created>
  <dcterms:modified xsi:type="dcterms:W3CDTF">2025-07-24T18:03:14+03:00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