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Устигнути б!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Василашко</w:t>
      </w:r>
    </w:p>
    <w:p>
      <w:pPr/>
      <w:r>
        <w:rPr/>
        <w:t xml:space="preserve">З далеких сіл в село ідуть на празник,</w:t>
      </w:r>
    </w:p>
    <w:p>
      <w:pPr/>
      <w:r>
        <w:rPr/>
        <w:t xml:space="preserve">Але на прощу спершу в церкву йдуть.</w:t>
      </w:r>
    </w:p>
    <w:p>
      <w:pPr/>
      <w:r>
        <w:rPr/>
        <w:t xml:space="preserve">Чи піп гріхи відпустить своєчасно?..</w:t>
      </w:r>
    </w:p>
    <w:p>
      <w:pPr/>
      <w:r>
        <w:rPr/>
        <w:t xml:space="preserve">Таж по хатах столи святкові ждуть!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Устигнути б! — Василь Василашко</dc:title>
  <dc:description/>
  <dc:subject/>
  <cp:keywords/>
  <cp:category/>
  <cp:lastModifiedBy/>
  <dcterms:created xsi:type="dcterms:W3CDTF">2025-01-21T08:45:33+00:00</dcterms:created>
  <dcterms:modified xsi:type="dcterms:W3CDTF">2025-01-21T08:45:33+00:00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