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Коли ти кажеш, що усі крадуть,</w:t>
      </w:r>
    </w:p>
    <w:p>
      <w:pPr/>
      <w:r>
        <w:rPr/>
        <w:t xml:space="preserve">Коли ти кажеш, що всі люди п’ють,</w:t>
      </w:r>
    </w:p>
    <w:p>
      <w:pPr/>
      <w:r>
        <w:rPr/>
        <w:t xml:space="preserve">Коли ти кажеш, що нечесні всі, —</w:t>
      </w:r>
    </w:p>
    <w:p>
      <w:pPr/>
      <w:r>
        <w:rPr/>
        <w:t xml:space="preserve">То й ти такий. Ти — ні? Тоді не всі.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всі — Василь Василашко</dc:title>
  <dc:description/>
  <dc:subject/>
  <cp:keywords/>
  <cp:category/>
  <cp:lastModifiedBy/>
  <dcterms:created xsi:type="dcterms:W3CDTF">2025-01-21T08:45:45+00:00</dcterms:created>
  <dcterms:modified xsi:type="dcterms:W3CDTF">2025-01-21T08:45:45+00:00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