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Ластовенятко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Тичина</w:t>
      </w:r>
    </w:p>
    <w:p>
      <w:pPr/>
      <w:r>
        <w:rPr/>
        <w:t xml:space="preserve">Встали мати, встали й татко:</w:t>
      </w:r>
    </w:p>
    <w:p>
      <w:pPr/>
      <w:r>
        <w:rPr/>
        <w:t xml:space="preserve">Де ластовенятко?</w:t>
      </w:r>
    </w:p>
    <w:p>
      <w:pPr/>
      <w:r>
        <w:rPr/>
        <w:t xml:space="preserve">А я тут, в саду, на лавці,</w:t>
      </w:r>
    </w:p>
    <w:p>
      <w:pPr/>
      <w:r>
        <w:rPr/>
        <w:t xml:space="preserve">Де квіти-ласкавці.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Ластовенятко — Павло Тичина</dc:title>
  <dc:description/>
  <dc:subject/>
  <cp:keywords/>
  <cp:category/>
  <cp:lastModifiedBy/>
  <dcterms:created xsi:type="dcterms:W3CDTF">2025-01-21T08:37:16+00:00</dcterms:created>
  <dcterms:modified xsi:type="dcterms:W3CDTF">2025-01-21T08:37:16+00:00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