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Гаврила і чорнило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— Що робить? — пита Гаврило.—</w:t>
      </w:r>
    </w:p>
    <w:p>
      <w:pPr/>
      <w:r>
        <w:rPr/>
        <w:t xml:space="preserve">Я ковтнув чорнила...</w:t>
      </w:r>
    </w:p>
    <w:p>
      <w:pPr/>
    </w:p>
    <w:p>
      <w:pPr/>
      <w:r>
        <w:rPr/>
        <w:t xml:space="preserve">— Проковтни ще й промокатку,—</w:t>
      </w:r>
    </w:p>
    <w:p>
      <w:pPr/>
      <w:r>
        <w:rPr/>
        <w:t xml:space="preserve">Буде все в порядку!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Гаврила і чорнило — Грицько Бойко</dc:title>
  <dc:description/>
  <dc:subject/>
  <cp:keywords/>
  <cp:category/>
  <cp:lastModifiedBy/>
  <dcterms:created xsi:type="dcterms:W3CDTF">2025-01-21T09:12:45+00:00</dcterms:created>
  <dcterms:modified xsi:type="dcterms:W3CDTF">2025-01-21T09:12:45+00:00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