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Баржа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Уляглась на баржі спаржа</w:t>
      </w:r>
    </w:p>
    <w:p>
      <w:pPr/>
      <w:r>
        <w:rPr/>
        <w:t xml:space="preserve">ледве не потоне баржа.</w:t>
      </w:r>
    </w:p>
    <w:p>
      <w:pPr/>
      <w:r>
        <w:rPr/>
        <w:t xml:space="preserve">А на баржі на ту спаржу</w:t>
      </w:r>
    </w:p>
    <w:p>
      <w:pPr/>
      <w:r>
        <w:rPr/>
        <w:t xml:space="preserve">стелить ранок</w:t>
      </w:r>
    </w:p>
    <w:p>
      <w:pPr/>
      <w:r>
        <w:rPr/>
        <w:t xml:space="preserve">жовту</w:t>
      </w:r>
    </w:p>
    <w:p>
      <w:pPr/>
      <w:r>
        <w:rPr/>
        <w:t xml:space="preserve">пряжу.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Баржа — Іван Гущак</dc:title>
  <dc:description/>
  <dc:subject/>
  <cp:keywords/>
  <cp:category/>
  <cp:lastModifiedBy/>
  <dcterms:created xsi:type="dcterms:W3CDTF">2025-12-10T18:32:34+00:00</dcterms:created>
  <dcterms:modified xsi:type="dcterms:W3CDTF">2025-12-10T18:32:34+00:00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