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Постійне виправдання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Пожежі наробив Сірник,</w:t>
      </w:r>
    </w:p>
    <w:p>
      <w:pPr/>
      <w:r>
        <w:rPr/>
        <w:t xml:space="preserve">Та визнавать вину не звик.</w:t>
      </w:r>
    </w:p>
    <w:p>
      <w:pPr/>
      <w:r>
        <w:rPr/>
        <w:t xml:space="preserve">— Не винен, — каже, —</w:t>
      </w:r>
    </w:p>
    <w:p>
      <w:pPr/>
      <w:r>
        <w:rPr/>
        <w:t xml:space="preserve">Хоч убий:</w:t>
      </w:r>
    </w:p>
    <w:p>
      <w:pPr/>
      <w:r>
        <w:rPr/>
        <w:t xml:space="preserve">Характер дужа запальний!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Постійне виправдання — Анатолій Гарматюк</dc:title>
  <dc:description/>
  <dc:subject/>
  <cp:keywords/>
  <cp:category/>
  <cp:lastModifiedBy/>
  <dcterms:created xsi:type="dcterms:W3CDTF">2025-02-21T12:29:26+00:00</dcterms:created>
  <dcterms:modified xsi:type="dcterms:W3CDTF">2025-02-21T12:29:26+00:00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