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Знайду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Нащо калоші ти взуваєш?</w:t>
      </w:r>
    </w:p>
    <w:p>
      <w:pPr/>
      <w:r>
        <w:rPr/>
        <w:t xml:space="preserve">— Я в них на вулицю піду!</w:t>
      </w:r>
    </w:p>
    <w:p>
      <w:pPr/>
      <w:r>
        <w:rPr/>
        <w:t xml:space="preserve">— Але ж грязюки там немає…</w:t>
      </w:r>
    </w:p>
    <w:p>
      <w:pPr/>
      <w:r>
        <w:rPr/>
        <w:t xml:space="preserve">— Нічого, я її знайду!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Знайду — Грицько Бойко</dc:title>
  <dc:description/>
  <dc:subject/>
  <cp:keywords/>
  <cp:category/>
  <cp:lastModifiedBy/>
  <dcterms:created xsi:type="dcterms:W3CDTF">2025-01-31T18:29:47+00:00</dcterms:created>
  <dcterms:modified xsi:type="dcterms:W3CDTF">2025-01-31T18:29:47+00:00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