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Кріт і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В норі старенький Кріт</w:t>
      </w:r>
    </w:p>
    <w:p>
      <w:pPr/>
      <w:r>
        <w:rPr/>
        <w:t xml:space="preserve">Навчав дітей проворних.</w:t>
      </w:r>
    </w:p>
    <w:p>
      <w:pPr/>
      <w:r>
        <w:rPr/>
        <w:t xml:space="preserve">— Це помилка —</w:t>
      </w:r>
    </w:p>
    <w:p>
      <w:pPr/>
      <w:r>
        <w:rPr/>
        <w:t xml:space="preserve">Казати "білий світ",</w:t>
      </w:r>
    </w:p>
    <w:p>
      <w:pPr/>
      <w:r>
        <w:rPr/>
        <w:t xml:space="preserve">Бо світ, як бачте,</w:t>
      </w:r>
    </w:p>
    <w:p>
      <w:pPr/>
      <w:r>
        <w:rPr/>
        <w:t xml:space="preserve">Чорний.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Кріт і світ — Анатолій Гарматюк</dc:title>
  <dc:description/>
  <dc:subject/>
  <cp:keywords/>
  <cp:category/>
  <cp:lastModifiedBy/>
  <dcterms:created xsi:type="dcterms:W3CDTF">2025-01-21T08:51:01+00:00</dcterms:created>
  <dcterms:modified xsi:type="dcterms:W3CDTF">2025-01-21T08:51:01+00:00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