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Золотих воріт ти ходиш. Не ходи...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До Золотих воріт ти ходиш. Не ходи —</w:t>
      </w:r>
    </w:p>
    <w:p>
      <w:pPr/>
      <w:r>
        <w:rPr/>
        <w:t xml:space="preserve">Там з неба дощ. В горосі твоє плаття.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Золотих воріт ти ходиш. Не ходи...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