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Задача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— Чому не розв'язав задачі? —</w:t>
      </w:r>
    </w:p>
    <w:p>
      <w:pPr/>
      <w:r>
        <w:rPr/>
        <w:t xml:space="preserve">Спитала мама у Павла.</w:t>
      </w:r>
    </w:p>
    <w:p>
      <w:pPr/>
      <w:r>
        <w:rPr/>
        <w:t xml:space="preserve">А менший братик поруч скаче:</w:t>
      </w:r>
    </w:p>
    <w:p>
      <w:pPr/>
      <w:r>
        <w:rPr/>
        <w:t xml:space="preserve">— Вона зав'язана була?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Задача — Анатолій Гарматюк</dc:title>
  <dc:description/>
  <dc:subject/>
  <cp:keywords/>
  <cp:category/>
  <cp:lastModifiedBy/>
  <dcterms:created xsi:type="dcterms:W3CDTF">2025-01-21T04:52:41+00:00</dcterms:created>
  <dcterms:modified xsi:type="dcterms:W3CDTF">2025-01-21T04:52:41+00:00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