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Намисто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Нанизала намистинки,</w:t>
      </w:r>
    </w:p>
    <w:p>
      <w:pPr/>
      <w:r>
        <w:rPr/>
        <w:t xml:space="preserve">Намистинки з горобинки,—</w:t>
      </w:r>
    </w:p>
    <w:p>
      <w:pPr/>
      <w:r>
        <w:rPr/>
        <w:t xml:space="preserve">Низочку одненьку. З</w:t>
      </w:r>
    </w:p>
    <w:p>
      <w:pPr/>
      <w:r>
        <w:rPr/>
        <w:t xml:space="preserve">асвітилось променисто</w:t>
      </w:r>
    </w:p>
    <w:p>
      <w:pPr/>
      <w:r>
        <w:rPr/>
        <w:t xml:space="preserve">На кофтиночці намисто,</w:t>
      </w:r>
    </w:p>
    <w:p>
      <w:pPr/>
      <w:r>
        <w:rPr/>
        <w:t xml:space="preserve">Мов коралі в неньки.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Намисто — Варвара Гринько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