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тижні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Два тижні як ми мовчимо</w:t>
      </w:r>
    </w:p>
    <w:p>
      <w:pPr/>
      <w:r>
        <w:rPr/>
        <w:t xml:space="preserve">Два тижні як ми чужі…</w:t>
      </w:r>
    </w:p>
    <w:p>
      <w:pPr/>
      <w:r>
        <w:rPr/>
        <w:t xml:space="preserve">Чи були ми коли так нестримно злими</w:t>
      </w:r>
    </w:p>
    <w:p>
      <w:pPr/>
      <w:r>
        <w:rPr/>
        <w:t xml:space="preserve">Скажи, скажи?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тижні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