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Якщо твої товариші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Якщо твої товариші</w:t>
      </w:r>
    </w:p>
    <w:p>
      <w:pPr/>
      <w:r>
        <w:rPr/>
        <w:t xml:space="preserve">Не ділять дум твоїх віднині, —</w:t>
      </w:r>
    </w:p>
    <w:p>
      <w:pPr/>
      <w:r>
        <w:rPr/>
        <w:t xml:space="preserve">Не дай торкнутися душі</w:t>
      </w:r>
    </w:p>
    <w:p>
      <w:pPr/>
      <w:r>
        <w:rPr/>
        <w:t xml:space="preserve">Рукам, що зраджують святині.</w:t>
      </w:r>
    </w:p>
    <w:p>
      <w:pPr/>
    </w:p>
    <w:p>
      <w:pPr/>
      <w:r>
        <w:rPr/>
        <w:t xml:space="preserve">Хай твердить той, хто втрати в зір,</w:t>
      </w:r>
    </w:p>
    <w:p>
      <w:pPr/>
      <w:r>
        <w:rPr/>
        <w:t xml:space="preserve">Що ти, мовляв, ідеш не в ногу.</w:t>
      </w:r>
    </w:p>
    <w:p>
      <w:pPr/>
      <w:r>
        <w:rPr/>
        <w:t xml:space="preserve">Якщо ти віриш — значить, вір,</w:t>
      </w:r>
    </w:p>
    <w:p>
      <w:pPr/>
      <w:r>
        <w:rPr/>
        <w:t xml:space="preserve">Шукай в земному неземного.</w:t>
      </w:r>
    </w:p>
    <w:p>
      <w:pPr/>
    </w:p>
    <w:p>
      <w:pPr/>
      <w:r>
        <w:rPr/>
        <w:t xml:space="preserve">Серед хвальби і хизувань,</w:t>
      </w:r>
    </w:p>
    <w:p>
      <w:pPr/>
      <w:r>
        <w:rPr/>
        <w:t xml:space="preserve">Де кожен прищ — суддя верховний,</w:t>
      </w:r>
    </w:p>
    <w:p>
      <w:pPr/>
      <w:r>
        <w:rPr/>
        <w:t xml:space="preserve">Нехай сліпа міщанська твань</w:t>
      </w:r>
    </w:p>
    <w:p>
      <w:pPr/>
      <w:r>
        <w:rPr/>
        <w:t xml:space="preserve">Життя стриже під ранг чиновний.</w:t>
      </w:r>
    </w:p>
    <w:p>
      <w:pPr/>
    </w:p>
    <w:p>
      <w:pPr/>
      <w:r>
        <w:rPr/>
        <w:t xml:space="preserve">Хай навіть мертвим роздає</w:t>
      </w:r>
    </w:p>
    <w:p>
      <w:pPr/>
      <w:r>
        <w:rPr/>
        <w:t xml:space="preserve">Гранітні милості по чину, —</w:t>
      </w:r>
    </w:p>
    <w:p>
      <w:pPr/>
      <w:r>
        <w:rPr/>
        <w:t xml:space="preserve">Спрямовуй бачення своє,</w:t>
      </w:r>
    </w:p>
    <w:p>
      <w:pPr/>
      <w:r>
        <w:rPr/>
        <w:t xml:space="preserve">Щоб віднайти першопричину.</w:t>
      </w:r>
    </w:p>
    <w:p>
      <w:pPr/>
    </w:p>
    <w:p>
      <w:pPr/>
      <w:r>
        <w:rPr/>
        <w:t xml:space="preserve">Та розбудить в душі не дай</w:t>
      </w:r>
    </w:p>
    <w:p>
      <w:pPr/>
      <w:r>
        <w:rPr/>
        <w:t xml:space="preserve">Бездумний гнів сліпого бунту,</w:t>
      </w:r>
    </w:p>
    <w:p>
      <w:pPr/>
      <w:r>
        <w:rPr/>
        <w:t xml:space="preserve">Що лиш породжує відчай,</w:t>
      </w:r>
    </w:p>
    <w:p>
      <w:pPr/>
      <w:r>
        <w:rPr/>
        <w:t xml:space="preserve">А не чуття твердого ґрунту.</w:t>
      </w:r>
    </w:p>
    <w:p>
      <w:pPr/>
    </w:p>
    <w:p>
      <w:pPr/>
      <w:r>
        <w:rPr/>
        <w:t xml:space="preserve">Ні, не готуй собі вінок,</w:t>
      </w:r>
    </w:p>
    <w:p>
      <w:pPr/>
      <w:r>
        <w:rPr/>
        <w:t xml:space="preserve">Забудь про славу та окрасу, —</w:t>
      </w:r>
    </w:p>
    <w:p>
      <w:pPr/>
      <w:r>
        <w:rPr/>
        <w:t xml:space="preserve">Тверезим стань, немов клинок,</w:t>
      </w:r>
    </w:p>
    <w:p>
      <w:pPr/>
      <w:r>
        <w:rPr/>
        <w:t xml:space="preserve">Що в піхви схований до часу.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Якщо твої товариші — Микола Руденко</dc:title>
  <dc:description/>
  <dc:subject/>
  <cp:keywords/>
  <cp:category/>
  <cp:lastModifiedBy/>
  <dcterms:created xsi:type="dcterms:W3CDTF">2025-01-21T09:10:16+00:00</dcterms:created>
  <dcterms:modified xsi:type="dcterms:W3CDTF">2025-01-21T09:10:16+00:00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