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Буфетниця-чарівниця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Як посміхнеться, як погляне,</w:t>
      </w:r>
    </w:p>
    <w:p>
      <w:pPr/>
      <w:r>
        <w:rPr/>
        <w:t xml:space="preserve">У покупця серденько тане.</w:t>
      </w:r>
    </w:p>
    <w:p>
      <w:pPr/>
      <w:r>
        <w:rPr/>
        <w:t xml:space="preserve">Така красуня ще де є?</w:t>
      </w:r>
    </w:p>
    <w:p>
      <w:pPr/>
      <w:r>
        <w:rPr/>
        <w:t xml:space="preserve">Жаль тільки...</w:t>
      </w:r>
    </w:p>
    <w:p>
      <w:pPr/>
      <w:r>
        <w:rPr/>
        <w:t xml:space="preserve">Здачі не дає!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Буфетниця-чарівниця — Михайло Білецький</dc:title>
  <dc:description/>
  <dc:subject/>
  <cp:keywords/>
  <cp:category/>
  <cp:lastModifiedBy/>
  <dcterms:created xsi:type="dcterms:W3CDTF">2025-01-21T09:02:01+00:00</dcterms:created>
  <dcterms:modified xsi:type="dcterms:W3CDTF">2025-01-21T09:02:01+00:00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