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шніцель?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Говорю офіціанту</w:t>
      </w:r>
    </w:p>
    <w:p>
      <w:pPr/>
      <w:r>
        <w:rPr/>
        <w:t xml:space="preserve">Підвищеним тоном:</w:t>
      </w:r>
    </w:p>
    <w:p>
      <w:pPr/>
      <w:r>
        <w:rPr/>
        <w:t xml:space="preserve">— Я ж просив вас шніцель дати!</w:t>
      </w:r>
    </w:p>
    <w:p>
      <w:pPr/>
      <w:r>
        <w:rPr/>
        <w:t xml:space="preserve">— А він під лимоном...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шніцель? — Михайло Білецький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