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телевізора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Жінка — штовх!</w:t>
      </w:r>
    </w:p>
    <w:p>
      <w:pPr/>
      <w:r>
        <w:rPr/>
        <w:t xml:space="preserve">— Дванадцять вже,</w:t>
      </w:r>
    </w:p>
    <w:p>
      <w:pPr/>
      <w:r>
        <w:rPr/>
        <w:t xml:space="preserve">Проснись, моє горе! —</w:t>
      </w:r>
    </w:p>
    <w:p>
      <w:pPr/>
      <w:r>
        <w:rPr/>
        <w:t xml:space="preserve">А чоловік:</w:t>
      </w:r>
    </w:p>
    <w:p>
      <w:pPr/>
      <w:r>
        <w:rPr/>
        <w:t xml:space="preserve">— Та невже?</w:t>
      </w:r>
    </w:p>
    <w:p>
      <w:pPr/>
      <w:r>
        <w:rPr/>
        <w:t xml:space="preserve">А на чию користь?!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телевізора — Михайло Білецький</dc:title>
  <dc:description/>
  <dc:subject/>
  <cp:keywords/>
  <cp:category/>
  <cp:lastModifiedBy/>
  <dcterms:created xsi:type="dcterms:W3CDTF">2025-01-21T09:01:58+00:00</dcterms:created>
  <dcterms:modified xsi:type="dcterms:W3CDTF">2025-01-21T09:01:58+00:00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