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сяду я під хатою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сяду я під хатою,</w:t>
      </w:r>
    </w:p>
    <w:p>
      <w:pPr/>
      <w:r>
        <w:rPr/>
        <w:t xml:space="preserve">На улицю гляну,</w:t>
      </w:r>
    </w:p>
    <w:p>
      <w:pPr/>
      <w:r>
        <w:rPr/>
        <w:t xml:space="preserve">Як-то тії дівчаточка</w:t>
      </w:r>
    </w:p>
    <w:p>
      <w:pPr/>
      <w:r>
        <w:rPr/>
        <w:t xml:space="preserve">Без своєї Ганни,</w:t>
      </w:r>
    </w:p>
    <w:p>
      <w:pPr/>
      <w:r>
        <w:rPr/>
        <w:t xml:space="preserve">Без моєї Ганнусеньки</w:t>
      </w:r>
    </w:p>
    <w:p>
      <w:pPr/>
      <w:r>
        <w:rPr/>
        <w:t xml:space="preserve">У хрещика грають.</w:t>
      </w:r>
    </w:p>
    <w:p>
      <w:pPr/>
      <w:r>
        <w:rPr/>
        <w:t xml:space="preserve">І граються невесело,</w:t>
      </w:r>
    </w:p>
    <w:p>
      <w:pPr/>
      <w:r>
        <w:rPr/>
        <w:t xml:space="preserve">І не так співають</w:t>
      </w:r>
    </w:p>
    <w:p>
      <w:pPr/>
      <w:r>
        <w:rPr/>
        <w:t xml:space="preserve">Дівчаточка. А моєї</w:t>
      </w:r>
    </w:p>
    <w:p>
      <w:pPr/>
      <w:r>
        <w:rPr/>
        <w:t xml:space="preserve">Голубки немає.</w:t>
      </w:r>
    </w:p>
    <w:p>
      <w:pPr/>
      <w:r>
        <w:rPr/>
        <w:t xml:space="preserve">У свекрухи десь воркує,</w:t>
      </w:r>
    </w:p>
    <w:p>
      <w:pPr/>
      <w:r>
        <w:rPr/>
        <w:t xml:space="preserve">Мене виглядає.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сяду я під хатою — Тарас Шевченко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