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Ходить ніч твоя, ходить ніч моя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Ходить ніч твоя, ходить ніч моя,</w:t>
      </w:r>
    </w:p>
    <w:p>
      <w:pPr/>
      <w:r>
        <w:rPr/>
        <w:t xml:space="preserve">Їм не велено ночувать.</w:t>
      </w:r>
    </w:p>
    <w:p>
      <w:pPr/>
      <w:r>
        <w:rPr/>
        <w:t xml:space="preserve">Коло кола ти, коло кола я —</w:t>
      </w:r>
    </w:p>
    <w:p>
      <w:pPr/>
      <w:r>
        <w:rPr/>
        <w:t xml:space="preserve">Велим-велено начувать,</w:t>
      </w:r>
    </w:p>
    <w:p>
      <w:pPr/>
      <w:r>
        <w:rPr/>
        <w:t xml:space="preserve">Що то ніч твоя, що то ніч моя,</w:t>
      </w:r>
    </w:p>
    <w:p>
      <w:pPr/>
      <w:r>
        <w:rPr/>
        <w:t xml:space="preserve">Що то ти є ти, а то я.</w:t>
      </w:r>
    </w:p>
    <w:p>
      <w:pPr/>
    </w:p>
    <w:p>
      <w:pPr/>
      <w:r>
        <w:rPr/>
        <w:t xml:space="preserve">Де рука твоя, де рука моя —</w:t>
      </w:r>
    </w:p>
    <w:p>
      <w:pPr/>
      <w:r>
        <w:rPr/>
        <w:t xml:space="preserve">Не живе там ніч золота.</w:t>
      </w:r>
    </w:p>
    <w:p>
      <w:pPr/>
      <w:r>
        <w:rPr/>
        <w:t xml:space="preserve">Коло кола ти, коло кола я,</w:t>
      </w:r>
    </w:p>
    <w:p>
      <w:pPr/>
      <w:r>
        <w:rPr/>
        <w:t xml:space="preserve">Заліта душа за літа…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Ходить ніч твоя, ходить ніч моя — Микола Вінграновський</dc:title>
  <dc:description/>
  <dc:subject/>
  <cp:keywords/>
  <cp:category/>
  <cp:lastModifiedBy/>
  <dcterms:created xsi:type="dcterms:W3CDTF">2025-01-21T09:07:41+00:00</dcterms:created>
  <dcterms:modified xsi:type="dcterms:W3CDTF">2025-01-21T09:07:41+00:00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