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Ходить туга по голій горі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Ходить туга по голій горі,</w:t>
      </w:r>
    </w:p>
    <w:p>
      <w:pPr/>
      <w:r>
        <w:rPr/>
        <w:t xml:space="preserve">Як туман по долині,</w:t>
      </w:r>
    </w:p>
    <w:p>
      <w:pPr/>
      <w:r>
        <w:rPr/>
        <w:t xml:space="preserve">Сіє мрії й бажання свої</w:t>
      </w:r>
    </w:p>
    <w:p>
      <w:pPr/>
      <w:r>
        <w:rPr/>
        <w:t xml:space="preserve">По широкій пустині.</w:t>
      </w:r>
    </w:p>
    <w:p>
      <w:pPr/>
    </w:p>
    <w:p>
      <w:pPr/>
      <w:r>
        <w:rPr/>
        <w:t xml:space="preserve">Розлітайтеся, мрії мої,</w:t>
      </w:r>
    </w:p>
    <w:p>
      <w:pPr/>
      <w:r>
        <w:rPr/>
        <w:t xml:space="preserve">Будякове насіння,</w:t>
      </w:r>
    </w:p>
    <w:p>
      <w:pPr/>
      <w:r>
        <w:rPr/>
        <w:t xml:space="preserve">А де стрінете серце живе,</w:t>
      </w:r>
    </w:p>
    <w:p>
      <w:pPr/>
      <w:r>
        <w:rPr/>
        <w:t xml:space="preserve">Запускайте коріння!</w:t>
      </w:r>
    </w:p>
    <w:p>
      <w:pPr/>
    </w:p>
    <w:p>
      <w:pPr/>
      <w:r>
        <w:rPr/>
        <w:t xml:space="preserve">Запускайте коріння ціпке</w:t>
      </w:r>
    </w:p>
    <w:p>
      <w:pPr/>
      <w:r>
        <w:rPr/>
        <w:t xml:space="preserve">Аж у серце до грунту,</w:t>
      </w:r>
    </w:p>
    <w:p>
      <w:pPr/>
      <w:r>
        <w:rPr/>
        <w:t xml:space="preserve">Проти плісені, сну, мертвоти</w:t>
      </w:r>
    </w:p>
    <w:p>
      <w:pPr/>
      <w:r>
        <w:rPr/>
        <w:t xml:space="preserve">Кличте духа до бунту.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Ходить туга по голій горі — Іван Франко</dc:title>
  <dc:description/>
  <dc:subject/>
  <cp:keywords/>
  <cp:category/>
  <cp:lastModifiedBy/>
  <dcterms:created xsi:type="dcterms:W3CDTF">2025-01-21T08:25:53+00:00</dcterms:created>
  <dcterms:modified xsi:type="dcterms:W3CDTF">2025-01-21T08:25:53+00:00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