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минай з погордою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Не минай з погордою</w:t>
      </w:r>
    </w:p>
    <w:p>
      <w:pPr/>
      <w:r>
        <w:rPr/>
        <w:t xml:space="preserve">І не смійсь, дитя!</w:t>
      </w:r>
    </w:p>
    <w:p>
      <w:pPr/>
      <w:r>
        <w:rPr/>
        <w:t xml:space="preserve">Може, в тім осміянім</w:t>
      </w:r>
    </w:p>
    <w:p>
      <w:pPr/>
      <w:r>
        <w:rPr/>
        <w:t xml:space="preserve">Суть твого життя.</w:t>
      </w:r>
    </w:p>
    <w:p>
      <w:pPr/>
    </w:p>
    <w:p>
      <w:pPr/>
      <w:r>
        <w:rPr/>
        <w:t xml:space="preserve">Може, в тім зневаженім</w:t>
      </w:r>
    </w:p>
    <w:p>
      <w:pPr/>
      <w:r>
        <w:rPr/>
        <w:t xml:space="preserve">Твого щастя карб,</w:t>
      </w:r>
    </w:p>
    <w:p>
      <w:pPr/>
      <w:r>
        <w:rPr/>
        <w:t xml:space="preserve">Може, в тім погордженім</w:t>
      </w:r>
    </w:p>
    <w:p>
      <w:pPr/>
      <w:r>
        <w:rPr/>
        <w:t xml:space="preserve">Є любові скарб.</w:t>
      </w:r>
    </w:p>
    <w:p>
      <w:pPr/>
    </w:p>
    <w:p>
      <w:pPr/>
      <w:r>
        <w:rPr/>
        <w:t xml:space="preserve">Може, сміх твій нинішній,</w:t>
      </w:r>
    </w:p>
    <w:p>
      <w:pPr/>
      <w:r>
        <w:rPr/>
        <w:t xml:space="preserve">Срібний та дзвінкий,</w:t>
      </w:r>
    </w:p>
    <w:p>
      <w:pPr/>
      <w:r>
        <w:rPr/>
        <w:t xml:space="preserve">Стане в твоїй пам’яті</w:t>
      </w:r>
    </w:p>
    <w:p>
      <w:pPr/>
      <w:r>
        <w:rPr/>
        <w:t xml:space="preserve">За докір гіркий.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минай з погордою — Іван Франко</dc:title>
  <dc:description/>
  <dc:subject/>
  <cp:keywords/>
  <cp:category/>
  <cp:lastModifiedBy/>
  <dcterms:created xsi:type="dcterms:W3CDTF">2025-01-21T09:09:35+00:00</dcterms:created>
  <dcterms:modified xsi:type="dcterms:W3CDTF">2025-01-21T09:09:35+00:00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