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 в сонетах Данте і Петрарка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Колись в сонетах Данте і Петрарка,</w:t>
      </w:r>
    </w:p>
    <w:p>
      <w:pPr/>
      <w:r>
        <w:rPr/>
        <w:t xml:space="preserve">Шекспір і Спенсер красоту співали,</w:t>
      </w:r>
    </w:p>
    <w:p>
      <w:pPr/>
      <w:r>
        <w:rPr/>
        <w:t xml:space="preserve">В форму майстерну, мов різьблена чарка,</w:t>
      </w:r>
    </w:p>
    <w:p>
      <w:pPr/>
      <w:r>
        <w:rPr/>
        <w:t xml:space="preserve">Свою любов, мов шум-вино, вливали.</w:t>
      </w:r>
    </w:p>
    <w:p>
      <w:pPr/>
    </w:p>
    <w:p>
      <w:pPr/>
      <w:r>
        <w:rPr/>
        <w:t xml:space="preserve">Ту чарку німці в меч перекували,</w:t>
      </w:r>
    </w:p>
    <w:p>
      <w:pPr/>
      <w:r>
        <w:rPr/>
        <w:t xml:space="preserve">Коли знялась патріотична сварка;</w:t>
      </w:r>
    </w:p>
    <w:p>
      <w:pPr/>
      <w:r>
        <w:rPr/>
        <w:t xml:space="preserve">“Панцирний” їх сонет [1], як капрал, гарка,</w:t>
      </w:r>
    </w:p>
    <w:p>
      <w:pPr/>
      <w:r>
        <w:rPr/>
        <w:t xml:space="preserve">Лиш краску крові любить і блиск стали.</w:t>
      </w:r>
    </w:p>
    <w:p>
      <w:pPr/>
    </w:p>
    <w:p>
      <w:pPr/>
      <w:r>
        <w:rPr/>
        <w:t xml:space="preserve">Нам, хліборобам, що з мечем почати?</w:t>
      </w:r>
    </w:p>
    <w:p>
      <w:pPr/>
      <w:r>
        <w:rPr/>
        <w:t xml:space="preserve">Прийдесь нову зробити перекову:</w:t>
      </w:r>
    </w:p>
    <w:p>
      <w:pPr/>
      <w:r>
        <w:rPr/>
        <w:t xml:space="preserve">Патріотичний меч перекувати</w:t>
      </w:r>
    </w:p>
    <w:p>
      <w:pPr/>
    </w:p>
    <w:p>
      <w:pPr/>
      <w:r>
        <w:rPr/>
        <w:t xml:space="preserve">На плуг — обліг будущини орати.</w:t>
      </w:r>
    </w:p>
    <w:p>
      <w:pPr/>
      <w:r>
        <w:rPr/>
        <w:t xml:space="preserve">На серп, щоб жито жать, життя основу,</w:t>
      </w:r>
    </w:p>
    <w:p>
      <w:pPr/>
      <w:r>
        <w:rPr/>
        <w:t xml:space="preserve">На вили — чистить стайню Авгійову.</w:t>
      </w:r>
    </w:p>
    <w:p>
      <w:pPr/>
      <w:r>
        <w:rPr/>
        <w:t xml:space="preserve">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– Мова тут про звісні в німецькій літературі “Geharnischte Sonette” Фр. Рюккерта.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в сонетах Данте і Петрарка — Іван Франко</dc:title>
  <dc:description/>
  <dc:subject/>
  <cp:keywords/>
  <cp:category/>
  <cp:lastModifiedBy/>
  <dcterms:created xsi:type="dcterms:W3CDTF">2025-01-21T08:52:38+00:00</dcterms:created>
  <dcterms:modified xsi:type="dcterms:W3CDTF">2025-01-21T08:52:38+00:00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