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дитини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Тішся вволю; смійся, доки</w:t>
      </w:r>
    </w:p>
    <w:p>
      <w:pPr/>
      <w:r>
        <w:rPr/>
        <w:t xml:space="preserve">Озаряє сміх уста,</w:t>
      </w:r>
    </w:p>
    <w:p>
      <w:pPr/>
      <w:r>
        <w:rPr/>
        <w:t xml:space="preserve">Та безхмарні літа-роки</w:t>
      </w:r>
    </w:p>
    <w:p>
      <w:pPr/>
      <w:r>
        <w:rPr/>
        <w:t xml:space="preserve">Не накладують хреста;</w:t>
      </w:r>
    </w:p>
    <w:p>
      <w:pPr/>
    </w:p>
    <w:p>
      <w:pPr/>
      <w:r>
        <w:rPr/>
        <w:t xml:space="preserve">Доки сумом та журбою</w:t>
      </w:r>
    </w:p>
    <w:p>
      <w:pPr/>
      <w:r>
        <w:rPr/>
        <w:t xml:space="preserve">Ще не здибало тебе;</w:t>
      </w:r>
    </w:p>
    <w:p>
      <w:pPr/>
      <w:r>
        <w:rPr/>
        <w:t xml:space="preserve">Доки небо над тобою</w:t>
      </w:r>
    </w:p>
    <w:p>
      <w:pPr/>
      <w:r>
        <w:rPr/>
        <w:t xml:space="preserve">І ясне, і голубе.</w:t>
      </w:r>
    </w:p>
    <w:p>
      <w:pPr/>
    </w:p>
    <w:p>
      <w:pPr/>
      <w:r>
        <w:rPr/>
        <w:t xml:space="preserve">Так, дитино моя люба,</w:t>
      </w:r>
    </w:p>
    <w:p>
      <w:pPr/>
      <w:r>
        <w:rPr/>
        <w:t xml:space="preserve">Погуляй — твоя пора,</w:t>
      </w:r>
    </w:p>
    <w:p>
      <w:pPr/>
      <w:r>
        <w:rPr/>
        <w:t xml:space="preserve">Бо вже, може, лиха згуба</w:t>
      </w:r>
    </w:p>
    <w:p>
      <w:pPr/>
      <w:r>
        <w:rPr/>
        <w:t xml:space="preserve">І по тебе десь чухра.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дитини — Павло Грабовський</dc:title>
  <dc:description/>
  <dc:subject/>
  <cp:keywords/>
  <cp:category/>
  <cp:lastModifiedBy/>
  <dcterms:created xsi:type="dcterms:W3CDTF">2025-01-21T08:56:12+00:00</dcterms:created>
  <dcterms:modified xsi:type="dcterms:W3CDTF">2025-01-21T08:56:12+00:00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