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Я – каштан. Не гань мене.</w:t>
      </w:r>
    </w:p>
    <w:p>
      <w:pPr/>
      <w:r>
        <w:rPr/>
        <w:t xml:space="preserve">Бо візьму й вколю тебе.</w:t>
      </w:r>
    </w:p>
    <w:p>
      <w:pPr/>
      <w:r>
        <w:rPr/>
        <w:t xml:space="preserve">В мене вдача-бо така:</w:t>
      </w:r>
    </w:p>
    <w:p>
      <w:pPr/>
      <w:r>
        <w:rPr/>
        <w:t xml:space="preserve">Схожий я на їжака.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Каштан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