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Гроби унуків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Це тут були гроби моїх унуків,</w:t>
      </w:r>
    </w:p>
    <w:p>
      <w:pPr/>
      <w:r>
        <w:rPr/>
        <w:t xml:space="preserve">де ми з тобою, мила, лежимо,</w:t>
      </w:r>
    </w:p>
    <w:p>
      <w:pPr/>
      <w:r>
        <w:rPr/>
        <w:t xml:space="preserve">а я тобі — любовник молодий.</w:t>
      </w:r>
    </w:p>
    <w:p>
      <w:pPr/>
    </w:p>
    <w:p>
      <w:pPr/>
      <w:r>
        <w:rPr/>
        <w:t xml:space="preserve">У синіх сумерках середньовіччя</w:t>
      </w:r>
    </w:p>
    <w:p>
      <w:pPr/>
      <w:r>
        <w:rPr/>
        <w:t xml:space="preserve">коханій я показував траву:</w:t>
      </w:r>
    </w:p>
    <w:p>
      <w:pPr/>
      <w:r>
        <w:rPr/>
        <w:t xml:space="preserve">вона росте з дітей моїх дітей.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Гроби унуків — Богдан Рубчак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