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Та нема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Даник</w:t>
      </w:r>
    </w:p>
    <w:p>
      <w:pPr/>
      <w:r>
        <w:rPr/>
        <w:t xml:space="preserve">А Гриць, немов по секрету,</w:t>
      </w:r>
    </w:p>
    <w:p>
      <w:pPr/>
      <w:r>
        <w:rPr/>
        <w:t xml:space="preserve">Скаже — ну, ніби тьохне...</w:t>
      </w:r>
    </w:p>
    <w:p>
      <w:pPr/>
      <w:r>
        <w:rPr/>
        <w:t xml:space="preserve">— Та нема політичного меду —</w:t>
      </w:r>
    </w:p>
    <w:p>
      <w:pPr/>
      <w:r>
        <w:rPr/>
        <w:t xml:space="preserve">Без... політичного дьогтю!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Та нема — Володимир Даник</dc:title>
  <dc:description/>
  <dc:subject/>
  <cp:keywords/>
  <cp:category/>
  <cp:lastModifiedBy/>
  <dcterms:created xsi:type="dcterms:W3CDTF">2025-01-21T09:28:59+00:00</dcterms:created>
  <dcterms:modified xsi:type="dcterms:W3CDTF">2025-01-21T09:28:59+00:00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