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Дармоїд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Не орав, не сіяв і не жав,</w:t>
      </w:r>
    </w:p>
    <w:p>
      <w:pPr/>
      <w:r>
        <w:rPr/>
        <w:t xml:space="preserve">А тепер благає бога з ями:</w:t>
      </w:r>
    </w:p>
    <w:p>
      <w:pPr/>
      <w:r>
        <w:rPr/>
        <w:t xml:space="preserve">— Я і так усе життя лежав,</w:t>
      </w:r>
    </w:p>
    <w:p>
      <w:pPr/>
      <w:r>
        <w:rPr/>
        <w:t xml:space="preserve">Дай хоч трохи</w:t>
      </w:r>
    </w:p>
    <w:p>
      <w:pPr/>
      <w:r>
        <w:rPr/>
        <w:t xml:space="preserve">походить ногами!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Дармоїд — Петро Ребро</dc:title>
  <dc:description/>
  <dc:subject/>
  <cp:keywords/>
  <cp:category/>
  <cp:lastModifiedBy/>
  <dcterms:created xsi:type="dcterms:W3CDTF">2025-01-21T08:59:37+00:00</dcterms:created>
  <dcterms:modified xsi:type="dcterms:W3CDTF">2025-01-21T08:59:37+00:00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