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поверх вище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 бомжами постовий</w:t>
      </w:r>
    </w:p>
    <w:p>
      <w:pPr/>
      <w:r>
        <w:rPr/>
        <w:t xml:space="preserve">Забравсь на горище:</w:t>
      </w:r>
    </w:p>
    <w:p>
      <w:pPr/>
      <w:r>
        <w:rPr/>
        <w:t xml:space="preserve">— Де живете?</w:t>
      </w:r>
    </w:p>
    <w:p>
      <w:pPr/>
      <w:r>
        <w:rPr/>
        <w:t xml:space="preserve">— Я ніде.</w:t>
      </w:r>
    </w:p>
    <w:p>
      <w:pPr/>
      <w:r>
        <w:rPr/>
        <w:t xml:space="preserve">— Ви?</w:t>
      </w:r>
    </w:p>
    <w:p>
      <w:pPr/>
      <w:r>
        <w:rPr/>
        <w:t xml:space="preserve">— На поверх вище!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поверх вище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