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 і Пацюки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Такий був делікатний Кіт, такого норову,</w:t>
      </w:r>
    </w:p>
    <w:p>
      <w:pPr/>
      <w:r>
        <w:rPr/>
        <w:t xml:space="preserve">Що Пацюки на нім зробили зоодром.</w:t>
      </w:r>
    </w:p>
    <w:p>
      <w:pPr/>
      <w:r>
        <w:rPr/>
        <w:t xml:space="preserve">За те й на пенсію випроводжали ж здорово —</w:t>
      </w:r>
    </w:p>
    <w:p>
      <w:pPr/>
      <w:r>
        <w:rPr/>
        <w:t xml:space="preserve">Нагородили пінопластовим хвостом!</w:t>
      </w:r>
    </w:p>
    <w:p>
      <w:pPr/>
    </w:p>
    <w:p>
      <w:pPr/>
      <w:r>
        <w:rPr/>
        <w:t xml:space="preserve">І все ж: не будь таким Котом,</w:t>
      </w:r>
    </w:p>
    <w:p>
      <w:pPr/>
      <w:r>
        <w:rPr/>
        <w:t xml:space="preserve">Бо відгризуть ще й голову!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і Пацюки — Анатолій Косматенко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