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Диригент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Знайомого Півня Лелека побачив</w:t>
      </w:r>
    </w:p>
    <w:p>
      <w:pPr/>
      <w:r>
        <w:rPr/>
        <w:t xml:space="preserve">Та й каже: — Ну, як ти живеш, небораче?</w:t>
      </w:r>
    </w:p>
    <w:p>
      <w:pPr/>
      <w:r>
        <w:rPr/>
        <w:t xml:space="preserve">Співаєш і нині на тій же оборі?</w:t>
      </w:r>
    </w:p>
    <w:p>
      <w:pPr/>
      <w:r>
        <w:rPr/>
        <w:t xml:space="preserve">А я диригую у жаб'ячім хорі.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Диригент — Петро Гришко</dc:title>
  <dc:description/>
  <dc:subject/>
  <cp:keywords/>
  <cp:category/>
  <cp:lastModifiedBy/>
  <dcterms:created xsi:type="dcterms:W3CDTF">2025-01-21T09:13:34+00:00</dcterms:created>
  <dcterms:modified xsi:type="dcterms:W3CDTF">2025-01-21T09:13:34+00:00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