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Невдачі – об вітражі жартів, бо 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Невдачі – об вітражі жартів, бо і</w:t>
      </w:r>
    </w:p>
    <w:p>
      <w:pPr/>
      <w:r>
        <w:rPr/>
        <w:t xml:space="preserve">чад вен</w:t>
      </w:r>
    </w:p>
    <w:p>
      <w:pPr/>
      <w:r>
        <w:rPr/>
        <w:t xml:space="preserve">Віда перо зорепадів.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Невдачі – об вітражі жартів, бо і... — Анатолій Мойсієнко</dc:title>
  <dc:description/>
  <dc:subject/>
  <cp:keywords/>
  <cp:category/>
  <cp:lastModifiedBy/>
  <dcterms:created xsi:type="dcterms:W3CDTF">2025-01-21T08:47:09+00:00</dcterms:created>
  <dcterms:modified xsi:type="dcterms:W3CDTF">2025-01-21T08:47:09+00:00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