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Меча років – об вікна ранків, бо...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Меча років – об вікна ранків, бо</w:t>
      </w:r>
    </w:p>
    <w:p>
      <w:pPr/>
      <w:r>
        <w:rPr/>
        <w:t xml:space="preserve">вік орачем.</w:t>
      </w:r>
    </w:p>
    <w:p>
      <w:pPr/>
      <w:r>
        <w:rPr/>
        <w:t xml:space="preserve">Меча років – об риму мир, бо вік</w:t>
      </w:r>
    </w:p>
    <w:p>
      <w:pPr/>
      <w:r>
        <w:rPr/>
        <w:t xml:space="preserve">орачем.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Меча років – об вікна ранків, бо... — Анатолій Мойсієнко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