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сарказм закрасен...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Не сарказм закрасен,</w:t>
      </w:r>
    </w:p>
    <w:p>
      <w:pPr/>
      <w:r>
        <w:rPr/>
        <w:t xml:space="preserve">А так само маска та —</w:t>
      </w:r>
    </w:p>
    <w:p>
      <w:pPr/>
      <w:r>
        <w:rPr/>
        <w:t xml:space="preserve">Масам.</w:t>
      </w:r>
    </w:p>
    <w:p>
      <w:pPr/>
      <w:r>
        <w:rPr/>
        <w:t xml:space="preserve">А за мого богомаза —</w:t>
      </w:r>
    </w:p>
    <w:p>
      <w:pPr/>
      <w:r>
        <w:rPr/>
        <w:t xml:space="preserve">Оксамитово ти, маско,-</w:t>
      </w:r>
    </w:p>
    <w:p>
      <w:pPr/>
      <w:r>
        <w:rPr/>
        <w:t xml:space="preserve">Уса пса та Спасу.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сарказм закрасен... — Анатолій Мойсієнко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