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Ходить доня по городу,</w:t>
      </w:r>
    </w:p>
    <w:p>
      <w:pPr/>
      <w:r>
        <w:rPr/>
        <w:t xml:space="preserve">як… оса по бутерброду!</w:t>
      </w:r>
    </w:p>
    <w:p>
      <w:pPr/>
    </w:p>
    <w:p>
      <w:pPr/>
      <w:r>
        <w:rPr/>
        <w:t xml:space="preserve">Обережно, обере…</w:t>
      </w:r>
    </w:p>
    <w:p>
      <w:pPr/>
      <w:r>
        <w:rPr/>
        <w:t xml:space="preserve">ягідки усі збере.</w:t>
      </w:r>
    </w:p>
    <w:p>
      <w:pPr/>
    </w:p>
    <w:p>
      <w:pPr/>
      <w:r>
        <w:rPr/>
        <w:t xml:space="preserve">Не в горнятко – тільки в рот.</w:t>
      </w:r>
    </w:p>
    <w:p>
      <w:pPr/>
      <w:r>
        <w:rPr/>
        <w:t xml:space="preserve">От!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От!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