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Чого ж бо ти плачеш, дитинонько мила?</w:t>
      </w:r>
    </w:p>
    <w:p>
      <w:pPr/>
      <w:r>
        <w:rPr/>
        <w:t xml:space="preserve">— А, ненечко-утко: котюга вкусила!</w:t>
      </w:r>
    </w:p>
    <w:p>
      <w:pPr/>
      <w:r>
        <w:rPr/>
        <w:t xml:space="preserve">— Коли від котюги такий тобі жас,</w:t>
      </w:r>
    </w:p>
    <w:p>
      <w:pPr/>
      <w:r>
        <w:rPr/>
        <w:t xml:space="preserve">То ще ти на світі заплачеш не 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Дитина — Юрій Федькович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